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505" w:rsidRPr="00211698" w:rsidRDefault="00211698">
      <w:pPr>
        <w:ind w:left="1580"/>
        <w:rPr>
          <w:rFonts w:asciiTheme="minorHAnsi" w:hAnsiTheme="minorHAnsi" w:cstheme="minorHAnsi"/>
          <w:sz w:val="20"/>
          <w:szCs w:val="20"/>
          <w:lang w:val="it-IT"/>
        </w:rPr>
      </w:pPr>
      <w:bookmarkStart w:id="0" w:name="page1"/>
      <w:bookmarkEnd w:id="0"/>
      <w:r w:rsidRPr="00211698">
        <w:rPr>
          <w:rFonts w:asciiTheme="minorHAnsi" w:eastAsia="Georgia" w:hAnsiTheme="minorHAnsi" w:cstheme="minorHAnsi"/>
          <w:b/>
          <w:bCs/>
          <w:sz w:val="32"/>
          <w:szCs w:val="32"/>
          <w:lang w:val="it-IT"/>
        </w:rPr>
        <w:t>LA CASSA DEGLI ASSEGNI FAMILIARI</w:t>
      </w:r>
    </w:p>
    <w:p w:rsidR="00F15505" w:rsidRPr="00211698" w:rsidRDefault="00211698">
      <w:pPr>
        <w:spacing w:line="2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211698">
        <w:rPr>
          <w:rFonts w:asciiTheme="minorHAnsi" w:hAnsiTheme="minorHAnsi" w:cstheme="minorHAnsi"/>
          <w:noProof/>
          <w:sz w:val="24"/>
          <w:szCs w:val="24"/>
          <w:lang w:val="it-IT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13335</wp:posOffset>
            </wp:positionV>
            <wp:extent cx="6518275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505" w:rsidRPr="00211698" w:rsidRDefault="00F15505">
      <w:pPr>
        <w:spacing w:line="356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La Cassa assegni familiari: ruolo e obiettivo.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58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La missione della Cassa assegni familiari (detta C.A.F) è di accompagnare le famiglie nella loro vita quotidiana. Tale accompagnamento si concretizza nella presa a carico da parte della C.A.F della totalità o di parte delle prestazioni legali a </w:t>
      </w:r>
      <w:bookmarkStart w:id="1" w:name="_GoBack"/>
      <w:bookmarkEnd w:id="1"/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beneficio d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elle famiglie, delle persone isolate o vulnerabili (affitto, spese di custodia dei bambini, soggiorni integrati).</w:t>
      </w:r>
    </w:p>
    <w:p w:rsidR="00F15505" w:rsidRPr="00211698" w:rsidRDefault="00F15505">
      <w:pPr>
        <w:spacing w:line="165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57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L'obiettivo della C.A.F è di migliorare il tenore di vita delle famiglie. A tal fine, la C.A.F mette in atto azioni destinate a facilitare l'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accesso a un alloggio di qualità, attenuare le disparità di reddito e accompagnare il movimento di ripresa demografica (il baby boom).</w:t>
      </w:r>
    </w:p>
    <w:p w:rsidR="00F15505" w:rsidRPr="00211698" w:rsidRDefault="00F15505">
      <w:pPr>
        <w:spacing w:line="163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Le azioni della Cassa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assegni familiari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.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55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Per contribuire al miglioramento del tenore di vita delle famiglie e delle per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sone più isolate e vulnerabili, gli assegni familiari forniscono aiuti sotto forma di prestazioni, attrezzature, controlli e consigli.</w:t>
      </w:r>
    </w:p>
    <w:p w:rsidR="00F15505" w:rsidRPr="00211698" w:rsidRDefault="00F15505">
      <w:pPr>
        <w:spacing w:line="165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Sono attuate varie azioni, vale a dire:</w:t>
      </w:r>
    </w:p>
    <w:p w:rsidR="00F15505" w:rsidRPr="00211698" w:rsidRDefault="00F15505">
      <w:pPr>
        <w:spacing w:line="186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numPr>
          <w:ilvl w:val="0"/>
          <w:numId w:val="1"/>
        </w:numPr>
        <w:tabs>
          <w:tab w:val="left" w:pos="700"/>
        </w:tabs>
        <w:spacing w:line="249" w:lineRule="auto"/>
        <w:ind w:left="700" w:right="420" w:hanging="360"/>
        <w:jc w:val="both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La corresponsione di prestazioni finanziarie a titolo di complemento di reddito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o di reddito sostitutivo: le prestazioni familiari e sociali, l'aiuto al finanziamento dell'alloggio e i minimi sociali (aiuto agli adulti disabili, reddito di solidarietà attiva, premio di attività).</w:t>
      </w:r>
    </w:p>
    <w:p w:rsidR="00F15505" w:rsidRPr="00211698" w:rsidRDefault="00F15505">
      <w:pPr>
        <w:spacing w:line="264" w:lineRule="exact"/>
        <w:rPr>
          <w:rFonts w:asciiTheme="minorHAnsi" w:eastAsia="Calibr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numPr>
          <w:ilvl w:val="0"/>
          <w:numId w:val="1"/>
        </w:numPr>
        <w:tabs>
          <w:tab w:val="left" w:pos="700"/>
        </w:tabs>
        <w:spacing w:line="239" w:lineRule="auto"/>
        <w:ind w:left="700" w:right="420" w:hanging="360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La creazione o il cofinanziamento di vari servizi e attrezzature collettive (asili nido o centri sociali).</w:t>
      </w:r>
    </w:p>
    <w:p w:rsidR="00F15505" w:rsidRPr="00211698" w:rsidRDefault="00F15505">
      <w:pPr>
        <w:spacing w:line="178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Gli assegni familiari. Condizioni di attribuzione e natura di tali prestazioni.</w:t>
      </w:r>
    </w:p>
    <w:p w:rsidR="00F15505" w:rsidRPr="00211698" w:rsidRDefault="00F15505">
      <w:pPr>
        <w:spacing w:line="178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Per poter beneficiare degli assegni familiari, le famiglie devono s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oddisfare determinate condizioni:</w:t>
      </w:r>
    </w:p>
    <w:p w:rsidR="00F15505" w:rsidRPr="00211698" w:rsidRDefault="00F15505">
      <w:pPr>
        <w:spacing w:line="178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Condizioni di attribuzione relative ai genitori: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188" w:lineRule="auto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Luogo di residenza. Le famiglie beneficiarie devono risiedere in Francia. La C.A.F non opera distinzioni di nazionalità o di status giuridico (coniugate, pattuite, unione 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libera; conviventi o conviventi). Tuttavia, le persone straniere non aventi la cittadinanza dell'Unione europea, dello Spazio economico europeo o della Svizzera devono rilasciare un permesso di soggiorno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in</w:t>
      </w:r>
      <w:r w:rsidRPr="00211698">
        <w:rPr>
          <w:rFonts w:asciiTheme="minorHAnsi" w:eastAsia="Calibri" w:hAnsiTheme="minorHAnsi" w:cstheme="minorHAnsi"/>
          <w:sz w:val="44"/>
          <w:szCs w:val="44"/>
          <w:vertAlign w:val="subscript"/>
          <w:lang w:val="it-IT"/>
        </w:rPr>
        <w:t xml:space="preserve"> corso di validità, attestante la loro situazione </w:t>
      </w:r>
      <w:r w:rsidRPr="00211698">
        <w:rPr>
          <w:rFonts w:asciiTheme="minorHAnsi" w:eastAsia="Calibri" w:hAnsiTheme="minorHAnsi" w:cstheme="minorHAnsi"/>
          <w:sz w:val="44"/>
          <w:szCs w:val="44"/>
          <w:vertAlign w:val="subscript"/>
          <w:lang w:val="it-IT"/>
        </w:rPr>
        <w:t>regolare in Francia. Se i bambini sono nati</w:t>
      </w:r>
    </w:p>
    <w:p w:rsidR="00F15505" w:rsidRPr="00211698" w:rsidRDefault="00211698">
      <w:pPr>
        <w:spacing w:line="20" w:lineRule="exact"/>
        <w:rPr>
          <w:rFonts w:asciiTheme="minorHAnsi" w:hAnsiTheme="minorHAnsi" w:cstheme="minorHAnsi"/>
          <w:sz w:val="24"/>
          <w:szCs w:val="24"/>
          <w:lang w:val="it-IT"/>
        </w:rPr>
      </w:pPr>
      <w:r w:rsidRPr="00211698">
        <w:rPr>
          <w:rFonts w:asciiTheme="minorHAnsi" w:hAnsiTheme="minorHAnsi" w:cstheme="minorHAnsi"/>
          <w:noProof/>
          <w:sz w:val="24"/>
          <w:szCs w:val="24"/>
          <w:lang w:val="it-IT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6656070</wp:posOffset>
            </wp:positionH>
            <wp:positionV relativeFrom="paragraph">
              <wp:posOffset>-46355</wp:posOffset>
            </wp:positionV>
            <wp:extent cx="28702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505" w:rsidRPr="00211698" w:rsidRDefault="00F15505">
      <w:pPr>
        <w:spacing w:line="2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all'estero, i genitori devono anche giustificare il loro ingresso regolare in Francia.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57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19"/>
          <w:szCs w:val="19"/>
          <w:lang w:val="it-IT"/>
        </w:rPr>
        <w:t>Risorse. Le prestazioni erogate dalla C.A.F sono erogate a condizioni di reddito. La C.A.F si basa sui redditi annuali, che essa recupera dalle imposte, per la determinazione dei dazi. Per consultare l'importo dei massimali di risorse, visitate il sito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 xml:space="preserve"> caf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>.fr.</w:t>
      </w:r>
      <w:r w:rsidRPr="00211698">
        <w:rPr>
          <w:rFonts w:asciiTheme="minorHAnsi" w:eastAsia="Georgia" w:hAnsiTheme="minorHAnsi" w:cstheme="minorHAnsi"/>
          <w:b/>
          <w:bCs/>
          <w:sz w:val="19"/>
          <w:szCs w:val="19"/>
          <w:lang w:val="it-IT"/>
        </w:rPr>
        <w:t xml:space="preserve"> Rubrica: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 xml:space="preserve"> Per informazioni sugli aiuti &gt; Prima infanzia.</w:t>
      </w:r>
    </w:p>
    <w:p w:rsidR="00F15505" w:rsidRPr="00211698" w:rsidRDefault="00F15505">
      <w:pPr>
        <w:spacing w:line="213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Condizioni di attribuzione relative ai figli: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55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Età. I figli devono avere meno di 16 anni, o meno di 20 se sono a carico dei genitori, o meno di 21 anni per l'assistenza abitativa e l'assistenza 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alle famiglie numerose con scarse risorse.</w:t>
      </w:r>
    </w:p>
    <w:p w:rsidR="00F15505" w:rsidRPr="00211698" w:rsidRDefault="00F15505">
      <w:pPr>
        <w:spacing w:line="167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55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Istruzione e/o occupazione. Dai 6 ai 15 anni: I bambini devono essere scolarizzati. Da 16 a 20 anni: la retribuzione mensile del giovane adulto non deve superare 907,19 € al 1º gennaio 2017.</w:t>
      </w:r>
    </w:p>
    <w:p w:rsidR="00F15505" w:rsidRPr="00211698" w:rsidRDefault="00F15505">
      <w:pPr>
        <w:spacing w:line="165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Natura delle prestazioni familiari. Le famiglie possono benefici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are di:</w:t>
      </w:r>
    </w:p>
    <w:p w:rsidR="00F15505" w:rsidRPr="00211698" w:rsidRDefault="00F15505">
      <w:pPr>
        <w:spacing w:line="169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numPr>
          <w:ilvl w:val="0"/>
          <w:numId w:val="2"/>
        </w:numPr>
        <w:tabs>
          <w:tab w:val="left" w:pos="420"/>
        </w:tabs>
        <w:ind w:left="420" w:hanging="361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u w:val="single"/>
          <w:lang w:val="it-IT"/>
        </w:rPr>
        <w:t>A partire dal primo figlio:</w:t>
      </w:r>
    </w:p>
    <w:p w:rsidR="00F15505" w:rsidRPr="00211698" w:rsidRDefault="00F15505">
      <w:pPr>
        <w:spacing w:line="247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numPr>
          <w:ilvl w:val="0"/>
          <w:numId w:val="3"/>
        </w:numPr>
        <w:tabs>
          <w:tab w:val="left" w:pos="980"/>
        </w:tabs>
        <w:ind w:left="980" w:hanging="354"/>
        <w:rPr>
          <w:rFonts w:asciiTheme="minorHAnsi" w:eastAsia="Courier New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La PAJE: Assistenza all'infanzia: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58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La gravidanza deve essere dichiarata alla CAF e alla Cassa primaria di assicurazione malattia (CPAM) durante i primi quattordici mesi. Un premio alla nascita o all'adozione è versato in un'unica soluzione. In secondo luogo, le famiglie ricevono un'indennit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à di base per le spese legate all'educazione del figlio, il cui importo dipende dal loro reddito, dalla fine del primo mese del figlio e fino al mese che precede il terzo compleanno. In caso di adozione, l'assegno di base è versato per 3 anni a decorrere d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all'arrivo del figlio.</w:t>
      </w:r>
    </w:p>
    <w:p w:rsidR="00F15505" w:rsidRPr="00211698" w:rsidRDefault="00F15505">
      <w:pPr>
        <w:spacing w:line="145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numPr>
          <w:ilvl w:val="0"/>
          <w:numId w:val="4"/>
        </w:numPr>
        <w:tabs>
          <w:tab w:val="left" w:pos="980"/>
        </w:tabs>
        <w:ind w:left="980" w:hanging="354"/>
        <w:rPr>
          <w:rFonts w:asciiTheme="minorHAnsi" w:eastAsia="Courier New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Il CMG: Complemento della libera scelta del modo di guardia: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:rsidR="00F15505" w:rsidRPr="00211698" w:rsidRDefault="00211698">
      <w:pPr>
        <w:spacing w:line="281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lastRenderedPageBreak/>
        <w:t>La C.A.F rimborsa una parte della retribuzione versata a un(a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 xml:space="preserve">) assistente 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>materno(a)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>, a un(a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>) baby-sitter, a un organismo di servizio o a un asilo nido familiare. L'impor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>to dei rimborsi dipende dalle risorse dei genitori.</w:t>
      </w:r>
    </w:p>
    <w:p w:rsidR="00F15505" w:rsidRPr="00211698" w:rsidRDefault="00F15505">
      <w:pPr>
        <w:rPr>
          <w:rFonts w:asciiTheme="minorHAnsi" w:hAnsiTheme="minorHAnsi" w:cstheme="minorHAnsi"/>
          <w:lang w:val="it-IT"/>
        </w:rPr>
        <w:sectPr w:rsidR="00F15505" w:rsidRPr="00211698">
          <w:pgSz w:w="11900" w:h="16838"/>
          <w:pgMar w:top="393" w:right="426" w:bottom="1012" w:left="860" w:header="0" w:footer="0" w:gutter="0"/>
          <w:cols w:space="720" w:equalWidth="0">
            <w:col w:w="10620"/>
          </w:cols>
        </w:sectPr>
      </w:pPr>
    </w:p>
    <w:p w:rsidR="00F15505" w:rsidRPr="00211698" w:rsidRDefault="00211698">
      <w:pPr>
        <w:ind w:left="1665"/>
        <w:rPr>
          <w:rFonts w:asciiTheme="minorHAnsi" w:hAnsiTheme="minorHAnsi" w:cstheme="minorHAnsi"/>
          <w:sz w:val="20"/>
          <w:szCs w:val="20"/>
          <w:lang w:val="it-IT"/>
        </w:rPr>
      </w:pPr>
      <w:bookmarkStart w:id="2" w:name="page2"/>
      <w:bookmarkEnd w:id="2"/>
      <w:r w:rsidRPr="00211698">
        <w:rPr>
          <w:rFonts w:asciiTheme="minorHAnsi" w:eastAsia="Georgia" w:hAnsiTheme="minorHAnsi" w:cstheme="minorHAnsi"/>
          <w:b/>
          <w:bCs/>
          <w:sz w:val="32"/>
          <w:szCs w:val="32"/>
          <w:lang w:val="it-IT"/>
        </w:rPr>
        <w:lastRenderedPageBreak/>
        <w:t>LA CASSA DEGLI ASSEGNI FAMILIARI</w:t>
      </w:r>
    </w:p>
    <w:p w:rsidR="00F15505" w:rsidRPr="00211698" w:rsidRDefault="00211698">
      <w:pPr>
        <w:spacing w:line="2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hAnsiTheme="minorHAnsi" w:cstheme="minorHAnsi"/>
          <w:noProof/>
          <w:sz w:val="20"/>
          <w:szCs w:val="20"/>
          <w:lang w:val="it-IT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13335</wp:posOffset>
            </wp:positionV>
            <wp:extent cx="651827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505" w:rsidRPr="00211698" w:rsidRDefault="00F15505">
      <w:pPr>
        <w:spacing w:line="358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58" w:lineRule="auto"/>
        <w:ind w:left="85" w:right="76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La C.A.F si fa carico anche della totalità o di una parte dei contributi sociali. Per trovare una modalità di custodia vicino a voi, visitate il sito mio-bambino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.fr.</w:t>
      </w:r>
    </w:p>
    <w:p w:rsidR="00F15505" w:rsidRPr="00211698" w:rsidRDefault="00F15505">
      <w:pPr>
        <w:spacing w:line="146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tabs>
          <w:tab w:val="left" w:pos="1044"/>
        </w:tabs>
        <w:ind w:left="70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Courier New" w:hAnsiTheme="minorHAnsi" w:cstheme="minorHAnsi"/>
          <w:sz w:val="20"/>
          <w:szCs w:val="20"/>
          <w:lang w:val="it-IT"/>
        </w:rPr>
        <w:t>o</w:t>
      </w:r>
      <w:r w:rsidRPr="00211698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La PREPARE: Prestazione condivisa di educazione del bambino:</w:t>
      </w:r>
    </w:p>
    <w:p w:rsidR="00F15505" w:rsidRPr="00211698" w:rsidRDefault="00F15505">
      <w:pPr>
        <w:spacing w:line="179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58" w:lineRule="auto"/>
        <w:ind w:left="85" w:right="7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Dal 1o</w:t>
      </w:r>
      <w:r w:rsidRPr="00211698">
        <w:rPr>
          <w:rFonts w:asciiTheme="minorHAnsi" w:eastAsia="Georgia" w:hAnsiTheme="minorHAnsi" w:cstheme="minorHAnsi"/>
          <w:sz w:val="12"/>
          <w:szCs w:val="12"/>
          <w:lang w:val="it-IT"/>
        </w:rPr>
        <w:t xml:space="preserve"> gennaio 2015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, tale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prestazione è corrisposta in caso di cessazione o riduzione dell'attività professionale per occuparsi di un figlio di meno di 3 anni o di meno di 20 anni se adottato. Per poterne beneficiare devono essere stati convalidati almeno otto trimestri di contrib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uti di vecchiaia (di norma, aver lavorato almeno due anni prima della nascita del figlio).</w:t>
      </w:r>
    </w:p>
    <w:p w:rsidR="00F15505" w:rsidRPr="00211698" w:rsidRDefault="00F15505">
      <w:pPr>
        <w:spacing w:line="146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tabs>
          <w:tab w:val="left" w:pos="1044"/>
        </w:tabs>
        <w:ind w:left="70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Courier New" w:hAnsiTheme="minorHAnsi" w:cstheme="minorHAnsi"/>
          <w:sz w:val="20"/>
          <w:szCs w:val="20"/>
          <w:lang w:val="it-IT"/>
        </w:rPr>
        <w:t>o</w:t>
      </w:r>
      <w:r w:rsidRPr="00211698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ARS: indennità di fine anno scolastico:</w:t>
      </w:r>
    </w:p>
    <w:p w:rsidR="00F15505" w:rsidRPr="00211698" w:rsidRDefault="00F15505">
      <w:pPr>
        <w:spacing w:line="179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left="85" w:right="7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L'indennità per l'inizio dell'anno scolastico viene corrisposta, a condizioni di reddito, a partire dalla fine di agosto,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per aiutare i genitori a sostenere il costo del rientro dei figli dai 6 ai 18 anni. Per le condizioni di risorse visitare il sito web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caf.fr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, sezione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Diritti e prestazioni &gt; Infanzia e gioventù.</w:t>
      </w:r>
    </w:p>
    <w:p w:rsidR="00F15505" w:rsidRPr="00211698" w:rsidRDefault="00F15505">
      <w:pPr>
        <w:spacing w:line="212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tabs>
          <w:tab w:val="left" w:pos="1044"/>
        </w:tabs>
        <w:ind w:left="70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Courier New" w:hAnsiTheme="minorHAnsi" w:cstheme="minorHAnsi"/>
          <w:sz w:val="20"/>
          <w:szCs w:val="20"/>
          <w:lang w:val="it-IT"/>
        </w:rPr>
        <w:t>o</w:t>
      </w:r>
      <w:r w:rsidRPr="00211698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ASF: assegno di sostegno familiare: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left="85" w:right="7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L'assegno di sostegno familiare è versato, per quattro mesi, al genitore che alleva da solo il figlio, privo dell'aiuto dell'altro genitore, e alla fine di questi quattro mesi, per completare un assegno alimentare di im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porto modesto. Per riscuotere questo assegno al termine dei primi quattro mesi, occorre avviare delle procedure di fissazione degli alimenti. Per maggiori informazioni sui diritti e sulle pratiche: www.pension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-alimentaire.caf.fr</w:t>
      </w:r>
    </w:p>
    <w:p w:rsidR="00F15505" w:rsidRPr="00211698" w:rsidRDefault="00F15505">
      <w:pPr>
        <w:spacing w:line="212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tabs>
          <w:tab w:val="left" w:pos="1044"/>
        </w:tabs>
        <w:ind w:left="70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Courier New" w:hAnsiTheme="minorHAnsi" w:cstheme="minorHAnsi"/>
          <w:sz w:val="20"/>
          <w:szCs w:val="20"/>
          <w:lang w:val="it-IT"/>
        </w:rPr>
        <w:t>o</w:t>
      </w:r>
      <w:r w:rsidRPr="00211698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L'AJPP: indennità giorna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liera di presenza parentale:</w:t>
      </w:r>
    </w:p>
    <w:p w:rsidR="00F15505" w:rsidRPr="00211698" w:rsidRDefault="00F15505">
      <w:pPr>
        <w:spacing w:line="231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7" w:lineRule="auto"/>
        <w:ind w:left="85" w:right="76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L'assegno giornaliero di presenza parentale è versato al genitore che cessa la sua attività professionale per occuparsi del figlio gravemente malato, infortunato o disabile.</w:t>
      </w:r>
    </w:p>
    <w:p w:rsidR="00F15505" w:rsidRPr="00211698" w:rsidRDefault="00F15505">
      <w:pPr>
        <w:spacing w:line="214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tabs>
          <w:tab w:val="left" w:pos="1044"/>
        </w:tabs>
        <w:ind w:left="70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Courier New" w:hAnsiTheme="minorHAnsi" w:cstheme="minorHAnsi"/>
          <w:sz w:val="20"/>
          <w:szCs w:val="20"/>
          <w:lang w:val="it-IT"/>
        </w:rPr>
        <w:t>o</w:t>
      </w:r>
      <w:r w:rsidRPr="00211698">
        <w:rPr>
          <w:rFonts w:asciiTheme="minorHAnsi" w:hAnsiTheme="minorHAnsi" w:cstheme="minorHAnsi"/>
          <w:sz w:val="20"/>
          <w:szCs w:val="20"/>
          <w:lang w:val="it-IT"/>
        </w:rPr>
        <w:tab/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L'AEEJ: assegno per l'educazione del figlio minorato:</w:t>
      </w:r>
    </w:p>
    <w:p w:rsidR="00F15505" w:rsidRPr="00211698" w:rsidRDefault="00F15505">
      <w:pPr>
        <w:spacing w:line="181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55" w:lineRule="auto"/>
        <w:ind w:left="85" w:right="7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L'assegno per l'educazio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ne del figlio disabile aiuta i genitori a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educare e curare il figlio disabile di età inferiore ai 20 anni.</w:t>
      </w:r>
    </w:p>
    <w:p w:rsidR="00F15505" w:rsidRPr="00211698" w:rsidRDefault="00F15505">
      <w:pPr>
        <w:spacing w:line="8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60"/>
        <w:gridCol w:w="4100"/>
        <w:gridCol w:w="3360"/>
        <w:gridCol w:w="460"/>
        <w:gridCol w:w="20"/>
      </w:tblGrid>
      <w:tr w:rsidR="00F15505" w:rsidRPr="00211698">
        <w:trPr>
          <w:trHeight w:val="269"/>
        </w:trPr>
        <w:tc>
          <w:tcPr>
            <w:tcW w:w="10480" w:type="dxa"/>
            <w:gridSpan w:val="4"/>
            <w:vMerge w:val="restart"/>
            <w:vAlign w:val="bottom"/>
          </w:tcPr>
          <w:p w:rsidR="00F15505" w:rsidRPr="00211698" w:rsidRDefault="00211698">
            <w:pPr>
              <w:ind w:left="20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-   A partire dal secondo figlio:</w:t>
            </w:r>
          </w:p>
        </w:tc>
        <w:tc>
          <w:tcPr>
            <w:tcW w:w="460" w:type="dxa"/>
            <w:vAlign w:val="bottom"/>
          </w:tcPr>
          <w:p w:rsidR="00F15505" w:rsidRPr="00211698" w:rsidRDefault="00211698">
            <w:pPr>
              <w:ind w:right="210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Calibri" w:hAnsiTheme="minorHAnsi" w:cstheme="minorHAnsi"/>
                <w:lang w:val="it-IT"/>
              </w:rPr>
              <w:t>2</w:t>
            </w: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7"/>
        </w:trPr>
        <w:tc>
          <w:tcPr>
            <w:tcW w:w="10480" w:type="dxa"/>
            <w:gridSpan w:val="4"/>
            <w:vMerge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4"/>
                <w:szCs w:val="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30"/>
        </w:trPr>
        <w:tc>
          <w:tcPr>
            <w:tcW w:w="10480" w:type="dxa"/>
            <w:gridSpan w:val="4"/>
            <w:vMerge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"/>
                <w:szCs w:val="2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0"/>
        </w:trPr>
        <w:tc>
          <w:tcPr>
            <w:tcW w:w="5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2460" w:type="dxa"/>
            <w:shd w:val="clear" w:color="auto" w:fill="000000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4100" w:type="dxa"/>
            <w:tcBorders>
              <w:left w:val="single" w:sz="8" w:space="0" w:color="auto"/>
            </w:tcBorders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33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95"/>
        </w:trPr>
        <w:tc>
          <w:tcPr>
            <w:tcW w:w="5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9920" w:type="dxa"/>
            <w:gridSpan w:val="3"/>
            <w:vAlign w:val="bottom"/>
          </w:tcPr>
          <w:p w:rsidR="00F15505" w:rsidRPr="00211698" w:rsidRDefault="00211698">
            <w:pPr>
              <w:ind w:left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Courier New" w:hAnsiTheme="minorHAnsi" w:cstheme="minorHAnsi"/>
                <w:sz w:val="20"/>
                <w:szCs w:val="20"/>
                <w:lang w:val="it-IT"/>
              </w:rPr>
              <w:t>o</w:t>
            </w:r>
            <w:r w:rsidRPr="00211698">
              <w:rPr>
                <w:rFonts w:asciiTheme="minorHAnsi" w:eastAsia="Georgia" w:hAnsiTheme="minorHAnsi" w:cstheme="minorHAnsi"/>
                <w:b/>
                <w:bCs/>
                <w:sz w:val="20"/>
                <w:szCs w:val="20"/>
                <w:lang w:val="it-IT"/>
              </w:rPr>
              <w:t xml:space="preserve"> Gli assegni familiari: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06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I genitori con almeno due figli a carico di età inferiore a 20 anni possono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5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risorse, gli assegni familiari a partire dalla nascita del secondo figlio a carico; a condizione di aver segnalato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5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L'arrivo del secondo figlio.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388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ind w:left="20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-   A partire dal terzo figlio: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0"/>
        </w:trPr>
        <w:tc>
          <w:tcPr>
            <w:tcW w:w="5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2460" w:type="dxa"/>
            <w:shd w:val="clear" w:color="auto" w:fill="000000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410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33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97"/>
        </w:trPr>
        <w:tc>
          <w:tcPr>
            <w:tcW w:w="5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9920" w:type="dxa"/>
            <w:gridSpan w:val="3"/>
            <w:vAlign w:val="bottom"/>
          </w:tcPr>
          <w:p w:rsidR="00F15505" w:rsidRPr="00211698" w:rsidRDefault="00211698">
            <w:pPr>
              <w:ind w:left="60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Courier New" w:hAnsiTheme="minorHAnsi" w:cstheme="minorHAnsi"/>
                <w:sz w:val="20"/>
                <w:szCs w:val="20"/>
                <w:lang w:val="it-IT"/>
              </w:rPr>
              <w:t>o</w:t>
            </w:r>
            <w:r w:rsidRPr="00211698">
              <w:rPr>
                <w:rFonts w:asciiTheme="minorHAnsi" w:eastAsia="Georgia" w:hAnsiTheme="minorHAnsi" w:cstheme="minorHAnsi"/>
                <w:b/>
                <w:bCs/>
                <w:sz w:val="20"/>
                <w:szCs w:val="20"/>
                <w:lang w:val="it-IT"/>
              </w:rPr>
              <w:t xml:space="preserve"> Il complemento familiare: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03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Il complemento familiare è versato, con riserva di risorse, alle famiglie che hanno almeno tre figli a carico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7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di età compresa tra 3 e 20 anni.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378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b/>
                <w:bCs/>
                <w:sz w:val="20"/>
                <w:szCs w:val="20"/>
                <w:lang w:val="it-IT"/>
              </w:rPr>
              <w:t>Gli aiuti per gli alloggi. Condizioni di attribuzione e natura di tali aiuti.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0"/>
        </w:trPr>
        <w:tc>
          <w:tcPr>
            <w:tcW w:w="7120" w:type="dxa"/>
            <w:gridSpan w:val="3"/>
            <w:shd w:val="clear" w:color="auto" w:fill="000000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33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spacing w:line="20" w:lineRule="exact"/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11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Si tratta di aiuti finanziari destinati a ridurre l'importo del canone dei beneficiari o a ridurre l'importo della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5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mensilità di un prestito immobiliare.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06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b/>
                <w:bCs/>
                <w:sz w:val="20"/>
                <w:szCs w:val="20"/>
                <w:lang w:val="it-IT"/>
              </w:rPr>
              <w:t>Condizioni di aggiudicazione. Le condizioni sono identiche per le tre indennità. L'alloggio deve essere la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7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residenza principale e gli inquilini devono occupare almeno otto mesi all'anno. Per ricevere l'aiuto al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5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alloggio nel 2017, le risorse 2015 non devono superare i 12 012 €.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06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I sussidi per l'abitazione sono calcolati in funzione di vari elementi: livello delle risorse, dimensione del nucleo familiare, luogo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5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di abitazione, importo del canone locativo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406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b/>
                <w:bCs/>
                <w:sz w:val="20"/>
                <w:szCs w:val="20"/>
                <w:lang w:val="it-IT"/>
              </w:rPr>
              <w:t>Natura di tali aiuti. I sussidi per l'alloggio sono tre: l'aiuto personalizzato all'alloggio (APL),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  <w:tr w:rsidR="00F15505" w:rsidRPr="00211698">
        <w:trPr>
          <w:trHeight w:val="245"/>
        </w:trPr>
        <w:tc>
          <w:tcPr>
            <w:tcW w:w="10480" w:type="dxa"/>
            <w:gridSpan w:val="4"/>
            <w:vAlign w:val="bottom"/>
          </w:tcPr>
          <w:p w:rsidR="00F15505" w:rsidRPr="00211698" w:rsidRDefault="0021169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211698">
              <w:rPr>
                <w:rFonts w:asciiTheme="minorHAnsi" w:eastAsia="Georgia" w:hAnsiTheme="minorHAnsi" w:cstheme="minorHAnsi"/>
                <w:sz w:val="20"/>
                <w:szCs w:val="20"/>
                <w:lang w:val="it-IT"/>
              </w:rPr>
              <w:t>l'indennità di alloggio familiare (ALF), l'indennità di alloggio sociale (ALS).</w:t>
            </w:r>
          </w:p>
        </w:tc>
        <w:tc>
          <w:tcPr>
            <w:tcW w:w="46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21"/>
                <w:szCs w:val="21"/>
                <w:lang w:val="it-IT"/>
              </w:rPr>
            </w:pPr>
          </w:p>
        </w:tc>
        <w:tc>
          <w:tcPr>
            <w:tcW w:w="0" w:type="dxa"/>
            <w:vAlign w:val="bottom"/>
          </w:tcPr>
          <w:p w:rsidR="00F15505" w:rsidRPr="00211698" w:rsidRDefault="00F15505">
            <w:pPr>
              <w:rPr>
                <w:rFonts w:asciiTheme="minorHAnsi" w:hAnsiTheme="minorHAnsi" w:cstheme="minorHAnsi"/>
                <w:sz w:val="1"/>
                <w:szCs w:val="1"/>
                <w:lang w:val="it-IT"/>
              </w:rPr>
            </w:pPr>
          </w:p>
        </w:tc>
      </w:tr>
    </w:tbl>
    <w:p w:rsidR="00F15505" w:rsidRPr="00211698" w:rsidRDefault="00F15505">
      <w:pPr>
        <w:spacing w:line="188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numPr>
          <w:ilvl w:val="0"/>
          <w:numId w:val="5"/>
        </w:numPr>
        <w:tabs>
          <w:tab w:val="left" w:pos="365"/>
        </w:tabs>
        <w:spacing w:line="239" w:lineRule="auto"/>
        <w:ind w:left="365" w:right="740" w:hanging="365"/>
        <w:jc w:val="both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Assistenza personalizzata per l'alloggio. 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L'aiuto è destinato agli inquilini di un'abitazione, nuova o vecchia, che è stata oggetto di un accordo tra il proprietario e lo S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tato. Essa può anche essere aggiudicata, a determinate condizioni,</w:t>
      </w:r>
    </w:p>
    <w:p w:rsidR="00F15505" w:rsidRPr="00211698" w:rsidRDefault="00F15505">
      <w:pPr>
        <w:rPr>
          <w:rFonts w:asciiTheme="minorHAnsi" w:hAnsiTheme="minorHAnsi" w:cstheme="minorHAnsi"/>
          <w:lang w:val="it-IT"/>
        </w:rPr>
        <w:sectPr w:rsidR="00F15505" w:rsidRPr="00211698">
          <w:pgSz w:w="11900" w:h="16838"/>
          <w:pgMar w:top="393" w:right="106" w:bottom="810" w:left="775" w:header="0" w:footer="0" w:gutter="0"/>
          <w:cols w:space="720" w:equalWidth="0">
            <w:col w:w="11025"/>
          </w:cols>
        </w:sectPr>
      </w:pPr>
    </w:p>
    <w:p w:rsidR="00F15505" w:rsidRPr="00211698" w:rsidRDefault="00211698">
      <w:pPr>
        <w:ind w:left="1665"/>
        <w:rPr>
          <w:rFonts w:asciiTheme="minorHAnsi" w:hAnsiTheme="minorHAnsi" w:cstheme="minorHAnsi"/>
          <w:sz w:val="20"/>
          <w:szCs w:val="20"/>
          <w:lang w:val="it-IT"/>
        </w:rPr>
      </w:pPr>
      <w:bookmarkStart w:id="3" w:name="page3"/>
      <w:bookmarkEnd w:id="3"/>
      <w:r w:rsidRPr="00211698">
        <w:rPr>
          <w:rFonts w:asciiTheme="minorHAnsi" w:eastAsia="Georgia" w:hAnsiTheme="minorHAnsi" w:cstheme="minorHAnsi"/>
          <w:b/>
          <w:bCs/>
          <w:sz w:val="32"/>
          <w:szCs w:val="32"/>
          <w:lang w:val="it-IT"/>
        </w:rPr>
        <w:lastRenderedPageBreak/>
        <w:t>LA CASSA DEGLI ASSEGNI FAMILIARI</w:t>
      </w:r>
    </w:p>
    <w:p w:rsidR="00F15505" w:rsidRPr="00211698" w:rsidRDefault="00211698">
      <w:pPr>
        <w:spacing w:line="2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hAnsiTheme="minorHAnsi" w:cstheme="minorHAnsi"/>
          <w:noProof/>
          <w:sz w:val="20"/>
          <w:szCs w:val="20"/>
          <w:lang w:val="it-IT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13335</wp:posOffset>
            </wp:positionV>
            <wp:extent cx="651827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505" w:rsidRPr="00211698" w:rsidRDefault="00F15505">
      <w:pPr>
        <w:spacing w:line="358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58" w:lineRule="auto"/>
        <w:ind w:left="365" w:right="420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ai proprietari o futuri proprietari. L'aiuto è versato direttamente al proprietario o al creditore che lo detrae dall'importo dell'affitto o delle rate mensili del beneficiario.</w:t>
      </w:r>
    </w:p>
    <w:p w:rsidR="00F15505" w:rsidRPr="00211698" w:rsidRDefault="00F15505">
      <w:pPr>
        <w:spacing w:line="256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numPr>
          <w:ilvl w:val="0"/>
          <w:numId w:val="6"/>
        </w:numPr>
        <w:tabs>
          <w:tab w:val="left" w:pos="365"/>
        </w:tabs>
        <w:spacing w:line="247" w:lineRule="auto"/>
        <w:ind w:left="365" w:right="440" w:hanging="365"/>
        <w:jc w:val="both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L'assegno di alloggio familiare. Questa indennità riguarda le famiglie che no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n possono beneficiare dell'APL e che hanno figli o altre persone a carico. Devono formare una famiglia sposata da meno di cinque anni; il matrimonio deve avvenire prima dei 40 anni di ciascuno dei coniugi.</w:t>
      </w:r>
    </w:p>
    <w:p w:rsidR="00F15505" w:rsidRPr="00211698" w:rsidRDefault="00F15505">
      <w:pPr>
        <w:spacing w:line="269" w:lineRule="exact"/>
        <w:rPr>
          <w:rFonts w:asciiTheme="minorHAnsi" w:eastAsia="Calibr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numPr>
          <w:ilvl w:val="0"/>
          <w:numId w:val="6"/>
        </w:numPr>
        <w:tabs>
          <w:tab w:val="left" w:pos="365"/>
        </w:tabs>
        <w:spacing w:line="239" w:lineRule="auto"/>
        <w:ind w:left="365" w:right="440" w:hanging="365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L'indennità di alloggio sociale. Questa indennità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è destinata alle persone che non possono ricevere né l'aiuto personalizzato all'alloggio né l'indennità di alloggio familiare.</w:t>
      </w:r>
    </w:p>
    <w:p w:rsidR="00F15505" w:rsidRPr="00211698" w:rsidRDefault="00F15505">
      <w:pPr>
        <w:spacing w:line="179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 xml:space="preserve">NB: Possono beneficiare di questi aiuti anche le persone che vivono in famiglia, in hotel, in un appartamento ammobiliato o in </w:t>
      </w: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>un residence universitario; le persone anziane o disabili alloggiate, non gratuitamente, presso privati, in case di riposo, in case di riposo o in unità di assistenza di lunga durata.</w:t>
      </w:r>
    </w:p>
    <w:p w:rsidR="00F15505" w:rsidRPr="00211698" w:rsidRDefault="00F15505">
      <w:pPr>
        <w:spacing w:line="231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left="85" w:right="44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>In alcuni casi è possibile beneficiare di un premio di trasloco o di un</w:t>
      </w: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 xml:space="preserve"> prestito per il miglioramento dell'habitat.</w:t>
      </w:r>
    </w:p>
    <w:p w:rsidR="00F15505" w:rsidRPr="00211698" w:rsidRDefault="00F15505">
      <w:pPr>
        <w:spacing w:line="226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ind w:left="8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I supplementi di reddito.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Condizioni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di attribuzione e natura delle prestazioni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.</w:t>
      </w:r>
    </w:p>
    <w:p w:rsidR="00F15505" w:rsidRPr="00211698" w:rsidRDefault="00F15505">
      <w:pPr>
        <w:spacing w:line="232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8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I lavoratori a basso reddito ricevono un reddito supplementare. Le persone più vulnerabili e/o prive di reddito beneficiano di un reddito minimo. Questi complementi sono: il premio di attività, il reddito di solidarietà attiva e l'indennità agli adulti min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orati.</w:t>
      </w:r>
    </w:p>
    <w:p w:rsidR="00F15505" w:rsidRPr="00211698" w:rsidRDefault="00F15505">
      <w:pPr>
        <w:spacing w:line="231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Il premio di attività. Condizioni di attribuzione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: avere almeno 18 anni, abitare in Francia in modo stabile ed esercitare un'attività professionale subordinata o autonoma. Le persone di origine straniera, al</w:t>
      </w:r>
      <w:r w:rsidRPr="00211698">
        <w:rPr>
          <w:rFonts w:asciiTheme="minorHAnsi" w:eastAsia="Georgia" w:hAnsiTheme="minorHAnsi" w:cstheme="minorHAnsi"/>
          <w:sz w:val="20"/>
          <w:szCs w:val="20"/>
          <w:u w:val="single"/>
          <w:lang w:val="it-IT"/>
        </w:rPr>
        <w:t xml:space="preserve"> di fuori dello Spazio economico europeo </w:t>
      </w:r>
      <w:r w:rsidRPr="00211698">
        <w:rPr>
          <w:rFonts w:asciiTheme="minorHAnsi" w:eastAsia="Georgia" w:hAnsiTheme="minorHAnsi" w:cstheme="minorHAnsi"/>
          <w:sz w:val="20"/>
          <w:szCs w:val="20"/>
          <w:u w:val="single"/>
          <w:lang w:val="it-IT"/>
        </w:rPr>
        <w:t>o della Svizzera, devono risiedere regolarmente in Francia da almeno cinque anni o essere titolari di una carta di residenza. L'importo del premio di attività è calcolato in funzione dell'insieme delle risorse della famiglia. I beneficiari devono dichiarar</w:t>
      </w:r>
      <w:r w:rsidRPr="00211698">
        <w:rPr>
          <w:rFonts w:asciiTheme="minorHAnsi" w:eastAsia="Georgia" w:hAnsiTheme="minorHAnsi" w:cstheme="minorHAnsi"/>
          <w:sz w:val="20"/>
          <w:szCs w:val="20"/>
          <w:u w:val="single"/>
          <w:lang w:val="it-IT"/>
        </w:rPr>
        <w:t>e ogni tre mesi le loro entrate del trimestre precedente nello spazio «Il mio conto» o sull'applicazione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mobile «Caf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- Il mio conto».</w:t>
      </w:r>
    </w:p>
    <w:p w:rsidR="00F15505" w:rsidRPr="00211698" w:rsidRDefault="00F15505">
      <w:pPr>
        <w:spacing w:line="215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ind w:left="8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Il Reddito di Solidarietà Attiva (RSA). Condizioni di attribuzione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: avere almeno 25 anni, abitare in Francia</w:t>
      </w:r>
    </w:p>
    <w:p w:rsidR="00F15505" w:rsidRPr="00211698" w:rsidRDefault="00211698">
      <w:pPr>
        <w:spacing w:line="191" w:lineRule="auto"/>
        <w:ind w:left="8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in modo stab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ile. Le persone di origine straniera, al</w:t>
      </w:r>
      <w:r w:rsidRPr="00211698">
        <w:rPr>
          <w:rFonts w:asciiTheme="minorHAnsi" w:eastAsia="Calibri" w:hAnsiTheme="minorHAnsi" w:cstheme="minorHAnsi"/>
          <w:sz w:val="44"/>
          <w:szCs w:val="44"/>
          <w:vertAlign w:val="superscript"/>
          <w:lang w:val="it-IT"/>
        </w:rPr>
        <w:t xml:space="preserve"> di fuori dello Spazio economico europeo o della Svizzera, devono risiedere regolarmente in Francia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da</w:t>
      </w:r>
      <w:r w:rsidRPr="00211698">
        <w:rPr>
          <w:rFonts w:asciiTheme="minorHAnsi" w:eastAsia="Georgia" w:hAnsiTheme="minorHAnsi" w:cstheme="minorHAnsi"/>
          <w:sz w:val="20"/>
          <w:szCs w:val="20"/>
          <w:u w:val="single"/>
          <w:lang w:val="it-IT"/>
        </w:rPr>
        <w:t xml:space="preserve"> almeno cinque anni o essere titolari di una carta di residenza. L'RSA è calcolato in funzione dell'insieme delle </w:t>
      </w:r>
      <w:r w:rsidRPr="00211698">
        <w:rPr>
          <w:rFonts w:asciiTheme="minorHAnsi" w:eastAsia="Georgia" w:hAnsiTheme="minorHAnsi" w:cstheme="minorHAnsi"/>
          <w:sz w:val="20"/>
          <w:szCs w:val="20"/>
          <w:u w:val="single"/>
          <w:lang w:val="it-IT"/>
        </w:rPr>
        <w:t>risorse della famiglia. I beneficiari devono dichiarare le loro entrate ogni tre mesi sul sito cif.fr. Per sapere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se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potete essere beneficiari visitate il sito sul sito caf.fr, sezione I miei servizi online &gt; Stimare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i vostri diritti.</w:t>
      </w:r>
    </w:p>
    <w:p w:rsidR="00F15505" w:rsidRPr="00211698" w:rsidRDefault="00211698">
      <w:pPr>
        <w:spacing w:line="2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hAnsiTheme="minorHAnsi" w:cstheme="minorHAnsi"/>
          <w:noProof/>
          <w:sz w:val="20"/>
          <w:szCs w:val="20"/>
          <w:lang w:val="it-IT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6710045</wp:posOffset>
            </wp:positionH>
            <wp:positionV relativeFrom="paragraph">
              <wp:posOffset>-560705</wp:posOffset>
            </wp:positionV>
            <wp:extent cx="28702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505" w:rsidRPr="00211698" w:rsidRDefault="00F15505">
      <w:pPr>
        <w:spacing w:line="212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L'assegno agli adu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lti disabili. Condizioni di assegnazione dei crediti. 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Avere almeno 20 anni (o 16 anni a determinate condizioni) e avere un tasso di inabilità di almeno il 50 %.</w:t>
      </w:r>
    </w:p>
    <w:p w:rsidR="00F15505" w:rsidRPr="00211698" w:rsidRDefault="00F15505">
      <w:pPr>
        <w:spacing w:line="229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8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L'azione sociale a favore delle famiglie. Ogni C.A.F conduce la propria politica di azione soc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iale e apporta diversi sostegni secondo priorità preventivamente definite. Per saperne di più, vai su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caf.fr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, inserendo il tuo codice postale nella home page: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Menu &gt;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Ma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Caf &gt;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Offerta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di servizio.</w:t>
      </w:r>
    </w:p>
    <w:p w:rsidR="00F15505" w:rsidRPr="00211698" w:rsidRDefault="00F15505">
      <w:pPr>
        <w:spacing w:line="6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8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>Esempi di azioni: Sovvenzionamento degli alloggi per il tem</w:t>
      </w: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>po libero senza alloggio al di fuori dell'orario scolastico e durante le vacanze, finanziamento di servizi di assistenza a domicilio, fondo di solidarietà alloggi, aiuto al finanziamento delle spese di formazione del BAFA</w:t>
      </w:r>
    </w:p>
    <w:p w:rsidR="00F15505" w:rsidRPr="00211698" w:rsidRDefault="00F15505">
      <w:pPr>
        <w:spacing w:line="231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ind w:left="85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Come accedere alle prestazioni de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lla Cassa assegni familiari?</w:t>
      </w:r>
    </w:p>
    <w:p w:rsidR="00F15505" w:rsidRPr="00211698" w:rsidRDefault="00F15505">
      <w:pPr>
        <w:spacing w:line="182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72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19"/>
          <w:szCs w:val="19"/>
          <w:lang w:val="it-IT"/>
        </w:rPr>
        <w:t>Se sei già un beneficiario, basta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 xml:space="preserve"> visitare il sito caf.fr per accedere al tuo spazio «Il mio Conto». Inserisci il tuo numero di cellulare e la tua password. Se l'ha perso, si presenti su</w:t>
      </w:r>
      <w:r w:rsidRPr="00211698">
        <w:rPr>
          <w:rFonts w:asciiTheme="minorHAnsi" w:eastAsia="Georgia" w:hAnsiTheme="minorHAnsi" w:cstheme="minorHAnsi"/>
          <w:b/>
          <w:bCs/>
          <w:sz w:val="19"/>
          <w:szCs w:val="19"/>
          <w:lang w:val="it-IT"/>
        </w:rPr>
        <w:t xml:space="preserve"> caf.fr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 xml:space="preserve"> per chiederlo. Per facilitare i contatti con la vostra cassa, non esitate a inserire il vostro </w:t>
      </w:r>
      <w:r w:rsidRPr="00211698">
        <w:rPr>
          <w:rFonts w:asciiTheme="minorHAnsi" w:eastAsia="Georgia" w:hAnsiTheme="minorHAnsi" w:cstheme="minorHAnsi"/>
          <w:sz w:val="19"/>
          <w:szCs w:val="19"/>
          <w:lang w:val="it-IT"/>
        </w:rPr>
        <w:t>indirizzo</w:t>
      </w:r>
    </w:p>
    <w:p w:rsidR="00F15505" w:rsidRPr="00211698" w:rsidRDefault="00211698">
      <w:pPr>
        <w:spacing w:line="258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e-mail, il tuo numero di cellulare e qualsiasi cambiamento nella vostra situazione. Dal tuo account puoi visualizzare i tuoi diritti e prestazioni in base alla tua situazione.</w:t>
      </w:r>
    </w:p>
    <w:p w:rsidR="00F15505" w:rsidRPr="00211698" w:rsidRDefault="00F15505">
      <w:pPr>
        <w:spacing w:line="248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left="85"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Se non hai un numero di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conto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: Per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creare un conto CAF, devi fare una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richiesta di prestazioni. Sarete così registrati nelle basi di dati CAF; un numero di destinatario sarà assegnato anche se la vostra domanda di prestazione è successivamente rifiutata. Visitate il sito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caf.fr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&gt; Menu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,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rubrica I miei</w:t>
      </w:r>
      <w:r w:rsidRPr="00211698">
        <w:rPr>
          <w:rFonts w:asciiTheme="minorHAnsi" w:eastAsia="Georgia" w:hAnsiTheme="minorHAnsi" w:cstheme="minorHAnsi"/>
          <w:color w:val="954F72"/>
          <w:sz w:val="20"/>
          <w:szCs w:val="20"/>
          <w:u w:val="single"/>
          <w:lang w:val="it-IT"/>
        </w:rPr>
        <w:t xml:space="preserve"> servizi online &gt; Fare u</w:t>
      </w:r>
      <w:r w:rsidRPr="00211698">
        <w:rPr>
          <w:rFonts w:asciiTheme="minorHAnsi" w:eastAsia="Georgia" w:hAnsiTheme="minorHAnsi" w:cstheme="minorHAnsi"/>
          <w:color w:val="954F72"/>
          <w:sz w:val="20"/>
          <w:szCs w:val="20"/>
          <w:u w:val="single"/>
          <w:lang w:val="it-IT"/>
        </w:rPr>
        <w:t>na richiesta di prestazione; compilare il modulo «Dichiarazione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</w:t>
      </w:r>
      <w:r w:rsidRPr="00211698">
        <w:rPr>
          <w:rFonts w:asciiTheme="minorHAnsi" w:eastAsia="Georgia" w:hAnsiTheme="minorHAnsi" w:cstheme="minorHAnsi"/>
          <w:color w:val="954F72"/>
          <w:sz w:val="20"/>
          <w:szCs w:val="20"/>
          <w:u w:val="single"/>
          <w:lang w:val="it-IT"/>
        </w:rPr>
        <w:t>di situazione</w:t>
      </w:r>
      <w:r w:rsidRPr="00211698">
        <w:rPr>
          <w:rFonts w:asciiTheme="minorHAnsi" w:eastAsia="Georgia" w:hAnsiTheme="minorHAnsi" w:cstheme="minorHAnsi"/>
          <w:color w:val="000000"/>
          <w:sz w:val="20"/>
          <w:szCs w:val="20"/>
          <w:lang w:val="it-IT"/>
        </w:rPr>
        <w:t>»: Si tratta del modulo che permette alla CAF di conoscere la vostra situazione personale, professionale e le vostre risorse per lo studio dei vostri diritti.</w:t>
      </w:r>
    </w:p>
    <w:p w:rsidR="00F15505" w:rsidRPr="00211698" w:rsidRDefault="00F15505">
      <w:pPr>
        <w:rPr>
          <w:rFonts w:asciiTheme="minorHAnsi" w:hAnsiTheme="minorHAnsi" w:cstheme="minorHAnsi"/>
          <w:lang w:val="it-IT"/>
        </w:rPr>
        <w:sectPr w:rsidR="00F15505" w:rsidRPr="00211698">
          <w:pgSz w:w="11900" w:h="16838"/>
          <w:pgMar w:top="393" w:right="426" w:bottom="1112" w:left="775" w:header="0" w:footer="0" w:gutter="0"/>
          <w:cols w:space="720" w:equalWidth="0">
            <w:col w:w="10705"/>
          </w:cols>
        </w:sectPr>
      </w:pPr>
    </w:p>
    <w:p w:rsidR="00F15505" w:rsidRPr="00211698" w:rsidRDefault="00211698">
      <w:pPr>
        <w:ind w:left="1580"/>
        <w:rPr>
          <w:rFonts w:asciiTheme="minorHAnsi" w:hAnsiTheme="minorHAnsi" w:cstheme="minorHAnsi"/>
          <w:sz w:val="20"/>
          <w:szCs w:val="20"/>
          <w:lang w:val="it-IT"/>
        </w:rPr>
      </w:pPr>
      <w:bookmarkStart w:id="4" w:name="page4"/>
      <w:bookmarkEnd w:id="4"/>
      <w:r w:rsidRPr="00211698">
        <w:rPr>
          <w:rFonts w:asciiTheme="minorHAnsi" w:eastAsia="Georgia" w:hAnsiTheme="minorHAnsi" w:cstheme="minorHAnsi"/>
          <w:b/>
          <w:bCs/>
          <w:sz w:val="32"/>
          <w:szCs w:val="32"/>
          <w:lang w:val="it-IT"/>
        </w:rPr>
        <w:lastRenderedPageBreak/>
        <w:t>LA CASSA DEGLI ASSEGNI FAMILIARI</w:t>
      </w:r>
    </w:p>
    <w:p w:rsidR="00F15505" w:rsidRPr="00211698" w:rsidRDefault="00211698">
      <w:pPr>
        <w:spacing w:line="20" w:lineRule="exact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hAnsiTheme="minorHAnsi" w:cstheme="minorHAnsi"/>
          <w:noProof/>
          <w:sz w:val="20"/>
          <w:szCs w:val="20"/>
          <w:lang w:val="it-IT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-22860</wp:posOffset>
            </wp:positionH>
            <wp:positionV relativeFrom="paragraph">
              <wp:posOffset>13335</wp:posOffset>
            </wp:positionV>
            <wp:extent cx="651827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5505" w:rsidRPr="00211698" w:rsidRDefault="00F15505">
      <w:pPr>
        <w:spacing w:line="358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Ti verrà assegnato un numero personale e una password temporanea. È importante mantenere le credenziali di accesso che ti serviranno per controllare il tuo account online in modo sicuro (la password dovrà essere person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alizzata al momento del primo accesso).</w:t>
      </w:r>
    </w:p>
    <w:p w:rsidR="00F15505" w:rsidRPr="00211698" w:rsidRDefault="00F15505">
      <w:pPr>
        <w:spacing w:line="229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Tutte le procedure eseguite sul sito della C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AF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accelerano il trattamento del suo caso.</w:t>
      </w:r>
    </w:p>
    <w:p w:rsidR="00F15505" w:rsidRPr="00211698" w:rsidRDefault="00F15505">
      <w:pPr>
        <w:spacing w:line="178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ind w:left="180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È importante segnalare tutti i cambiamenti di situazione alla C.A.F!</w:t>
      </w:r>
    </w:p>
    <w:p w:rsidR="00F15505" w:rsidRPr="00211698" w:rsidRDefault="00F15505">
      <w:pPr>
        <w:spacing w:line="1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Matrimonio, separazione, partenza di un figlio dalla fami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glia, ripresa o perdita di un posto di lavoro Tali eventi possono avere un impatto sul pagamento dei benefici e sui relativi importi. Per farlo, devi semplicemente accedere allo spazio «Il mio Account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» nella sezione Il mio Profilo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.</w:t>
      </w:r>
    </w:p>
    <w:p w:rsidR="00F15505" w:rsidRPr="00211698" w:rsidRDefault="00F15505">
      <w:pPr>
        <w:spacing w:line="233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55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Per sapere se avete diritto a una delle prestazioni della C.A.F, non esitate a utilizzare i simulatori: visitate il sito della caf.fr.</w:t>
      </w:r>
    </w:p>
    <w:p w:rsidR="00F15505" w:rsidRPr="00211698" w:rsidRDefault="00F15505">
      <w:pPr>
        <w:spacing w:line="165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478" w:lineRule="auto"/>
        <w:ind w:right="3400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b/>
          <w:bCs/>
          <w:sz w:val="20"/>
          <w:szCs w:val="20"/>
          <w:u w:val="single"/>
          <w:lang w:val="it-IT"/>
        </w:rPr>
        <w:t>Come contattare la C.A.F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? Visitate il sito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caf.fr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&gt; Menu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>,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rubrica: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Ma Caf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&gt; Contattate</w:t>
      </w:r>
      <w:r w:rsidRPr="00211698">
        <w:rPr>
          <w:rFonts w:asciiTheme="minorHAnsi" w:eastAsia="Georgia" w:hAnsiTheme="minorHAnsi" w:cstheme="minorHAnsi"/>
          <w:b/>
          <w:bCs/>
          <w:sz w:val="20"/>
          <w:szCs w:val="20"/>
          <w:lang w:val="it-IT"/>
        </w:rPr>
        <w:t xml:space="preserve"> la mia caf.</w:t>
      </w:r>
    </w:p>
    <w:p w:rsidR="00F15505" w:rsidRPr="00211698" w:rsidRDefault="00F15505">
      <w:pPr>
        <w:spacing w:line="4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9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Potete contattare il vostro C.A.F via e-mail direttamente dal vostro spazio; per posta; nei punti di accoglienza; prendere un appuntamento; recarsi ai terminali interattivi (questo strumento fornisce risposte semplici e rapide alle vostre procedure, sia ch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e si tratti di consultare il vostro account, ottenere un attestato o effettuare una richiesta); da videoconferenza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 xml:space="preserve"> (modo d'accoglienza che consente di parlare con un consulente C.A.F con una webcam. Grazie allo scanner integrato, è anche possibile trasmette</w:t>
      </w:r>
      <w:r w:rsidRPr="00211698">
        <w:rPr>
          <w:rFonts w:asciiTheme="minorHAnsi" w:eastAsia="Georgia" w:hAnsiTheme="minorHAnsi" w:cstheme="minorHAnsi"/>
          <w:sz w:val="20"/>
          <w:szCs w:val="20"/>
          <w:lang w:val="it-IT"/>
        </w:rPr>
        <w:t>re documenti giustificativi in tempo reale). Per accedere a questi servizi, è necessario disporre del proprio numero di telefono e del proprio codice riservato.</w:t>
      </w:r>
    </w:p>
    <w:p w:rsidR="00F15505" w:rsidRPr="00211698" w:rsidRDefault="00F15505">
      <w:pPr>
        <w:spacing w:line="234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spacing w:line="238" w:lineRule="auto"/>
        <w:ind w:right="420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 xml:space="preserve">Ogni C.A.F decide i servizi messi in atto per dialogare con i </w:t>
      </w:r>
      <w:r w:rsidRPr="00211698">
        <w:rPr>
          <w:rFonts w:asciiTheme="minorHAnsi" w:eastAsia="Georgia" w:hAnsiTheme="minorHAnsi" w:cstheme="minorHAnsi"/>
          <w:i/>
          <w:iCs/>
          <w:sz w:val="20"/>
          <w:szCs w:val="20"/>
          <w:u w:val="single"/>
          <w:lang w:val="it-IT"/>
        </w:rPr>
        <w:t>beneficiari</w:t>
      </w: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>. Per esempio, se dip</w:t>
      </w:r>
      <w:r w:rsidRPr="00211698">
        <w:rPr>
          <w:rFonts w:asciiTheme="minorHAnsi" w:eastAsia="Georgia" w:hAnsiTheme="minorHAnsi" w:cstheme="minorHAnsi"/>
          <w:i/>
          <w:iCs/>
          <w:sz w:val="20"/>
          <w:szCs w:val="20"/>
          <w:lang w:val="it-IT"/>
        </w:rPr>
        <w:t>endete dal CAF delle Bocche del Rodano - Caf 13, due consiglieri rispondono alle vostre domande ogni venerdì dalle 8.45 alle 12.15 e dalle 13.30 alle 16.00.</w:t>
      </w:r>
    </w:p>
    <w:p w:rsidR="00F15505" w:rsidRPr="00211698" w:rsidRDefault="00F15505">
      <w:pPr>
        <w:spacing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F15505">
      <w:pPr>
        <w:spacing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F15505">
      <w:pPr>
        <w:spacing w:line="200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F15505">
      <w:pPr>
        <w:spacing w:line="209" w:lineRule="exact"/>
        <w:rPr>
          <w:rFonts w:asciiTheme="minorHAnsi" w:hAnsiTheme="minorHAnsi" w:cstheme="minorHAnsi"/>
          <w:sz w:val="20"/>
          <w:szCs w:val="20"/>
          <w:lang w:val="it-IT"/>
        </w:rPr>
      </w:pPr>
    </w:p>
    <w:p w:rsidR="00F15505" w:rsidRPr="00211698" w:rsidRDefault="00211698">
      <w:pPr>
        <w:jc w:val="right"/>
        <w:rPr>
          <w:rFonts w:asciiTheme="minorHAnsi" w:hAnsiTheme="minorHAnsi" w:cstheme="minorHAnsi"/>
          <w:sz w:val="20"/>
          <w:szCs w:val="20"/>
          <w:lang w:val="it-IT"/>
        </w:rPr>
      </w:pPr>
      <w:r w:rsidRPr="00211698">
        <w:rPr>
          <w:rFonts w:asciiTheme="minorHAnsi" w:eastAsia="Calibri" w:hAnsiTheme="minorHAnsi" w:cstheme="minorHAnsi"/>
          <w:lang w:val="it-IT"/>
        </w:rPr>
        <w:t>4</w:t>
      </w:r>
    </w:p>
    <w:p w:rsidR="00F15505" w:rsidRPr="00211698" w:rsidRDefault="00211698">
      <w:pPr>
        <w:spacing w:line="20" w:lineRule="exact"/>
        <w:rPr>
          <w:sz w:val="20"/>
          <w:szCs w:val="20"/>
          <w:lang w:val="it-IT"/>
        </w:rPr>
      </w:pPr>
      <w:r w:rsidRPr="00211698">
        <w:rPr>
          <w:noProof/>
          <w:sz w:val="20"/>
          <w:szCs w:val="20"/>
          <w:lang w:val="it-IT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6656070</wp:posOffset>
            </wp:positionH>
            <wp:positionV relativeFrom="paragraph">
              <wp:posOffset>29845</wp:posOffset>
            </wp:positionV>
            <wp:extent cx="28702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5505" w:rsidRPr="00211698">
      <w:pgSz w:w="11900" w:h="16838"/>
      <w:pgMar w:top="393" w:right="426" w:bottom="1440" w:left="860" w:header="0" w:footer="0" w:gutter="0"/>
      <w:cols w:space="720" w:equalWidth="0">
        <w:col w:w="10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F49E1A00"/>
    <w:lvl w:ilvl="0" w:tplc="C16CE66A">
      <w:start w:val="1"/>
      <w:numFmt w:val="bullet"/>
      <w:lvlText w:val="-"/>
      <w:lvlJc w:val="left"/>
    </w:lvl>
    <w:lvl w:ilvl="1" w:tplc="12D4C2BE">
      <w:numFmt w:val="decimal"/>
      <w:lvlText w:val=""/>
      <w:lvlJc w:val="left"/>
    </w:lvl>
    <w:lvl w:ilvl="2" w:tplc="9B684C0E">
      <w:numFmt w:val="decimal"/>
      <w:lvlText w:val=""/>
      <w:lvlJc w:val="left"/>
    </w:lvl>
    <w:lvl w:ilvl="3" w:tplc="1340CB24">
      <w:numFmt w:val="decimal"/>
      <w:lvlText w:val=""/>
      <w:lvlJc w:val="left"/>
    </w:lvl>
    <w:lvl w:ilvl="4" w:tplc="992CC07A">
      <w:numFmt w:val="decimal"/>
      <w:lvlText w:val=""/>
      <w:lvlJc w:val="left"/>
    </w:lvl>
    <w:lvl w:ilvl="5" w:tplc="9974A19E">
      <w:numFmt w:val="decimal"/>
      <w:lvlText w:val=""/>
      <w:lvlJc w:val="left"/>
    </w:lvl>
    <w:lvl w:ilvl="6" w:tplc="9F980E5C">
      <w:numFmt w:val="decimal"/>
      <w:lvlText w:val=""/>
      <w:lvlJc w:val="left"/>
    </w:lvl>
    <w:lvl w:ilvl="7" w:tplc="431AA222">
      <w:numFmt w:val="decimal"/>
      <w:lvlText w:val=""/>
      <w:lvlJc w:val="left"/>
    </w:lvl>
    <w:lvl w:ilvl="8" w:tplc="5EF8DA80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AAE987C"/>
    <w:lvl w:ilvl="0" w:tplc="43A6A946">
      <w:start w:val="15"/>
      <w:numFmt w:val="lowerLetter"/>
      <w:lvlText w:val="%1"/>
      <w:lvlJc w:val="left"/>
    </w:lvl>
    <w:lvl w:ilvl="1" w:tplc="6150AD6A">
      <w:numFmt w:val="decimal"/>
      <w:lvlText w:val=""/>
      <w:lvlJc w:val="left"/>
    </w:lvl>
    <w:lvl w:ilvl="2" w:tplc="46F6BC1E">
      <w:numFmt w:val="decimal"/>
      <w:lvlText w:val=""/>
      <w:lvlJc w:val="left"/>
    </w:lvl>
    <w:lvl w:ilvl="3" w:tplc="3DF67B58">
      <w:numFmt w:val="decimal"/>
      <w:lvlText w:val=""/>
      <w:lvlJc w:val="left"/>
    </w:lvl>
    <w:lvl w:ilvl="4" w:tplc="62523BA0">
      <w:numFmt w:val="decimal"/>
      <w:lvlText w:val=""/>
      <w:lvlJc w:val="left"/>
    </w:lvl>
    <w:lvl w:ilvl="5" w:tplc="D5DC0E74">
      <w:numFmt w:val="decimal"/>
      <w:lvlText w:val=""/>
      <w:lvlJc w:val="left"/>
    </w:lvl>
    <w:lvl w:ilvl="6" w:tplc="B6C09394">
      <w:numFmt w:val="decimal"/>
      <w:lvlText w:val=""/>
      <w:lvlJc w:val="left"/>
    </w:lvl>
    <w:lvl w:ilvl="7" w:tplc="2BF6CB10">
      <w:numFmt w:val="decimal"/>
      <w:lvlText w:val=""/>
      <w:lvlJc w:val="left"/>
    </w:lvl>
    <w:lvl w:ilvl="8" w:tplc="B25889E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6F43948"/>
    <w:lvl w:ilvl="0" w:tplc="E1FE496A">
      <w:start w:val="1"/>
      <w:numFmt w:val="bullet"/>
      <w:lvlText w:val="-"/>
      <w:lvlJc w:val="left"/>
    </w:lvl>
    <w:lvl w:ilvl="1" w:tplc="D63AFEA0">
      <w:numFmt w:val="decimal"/>
      <w:lvlText w:val=""/>
      <w:lvlJc w:val="left"/>
    </w:lvl>
    <w:lvl w:ilvl="2" w:tplc="01440DC8">
      <w:numFmt w:val="decimal"/>
      <w:lvlText w:val=""/>
      <w:lvlJc w:val="left"/>
    </w:lvl>
    <w:lvl w:ilvl="3" w:tplc="073C082C">
      <w:numFmt w:val="decimal"/>
      <w:lvlText w:val=""/>
      <w:lvlJc w:val="left"/>
    </w:lvl>
    <w:lvl w:ilvl="4" w:tplc="BDB41D12">
      <w:numFmt w:val="decimal"/>
      <w:lvlText w:val=""/>
      <w:lvlJc w:val="left"/>
    </w:lvl>
    <w:lvl w:ilvl="5" w:tplc="7E14639A">
      <w:numFmt w:val="decimal"/>
      <w:lvlText w:val=""/>
      <w:lvlJc w:val="left"/>
    </w:lvl>
    <w:lvl w:ilvl="6" w:tplc="96141100">
      <w:numFmt w:val="decimal"/>
      <w:lvlText w:val=""/>
      <w:lvlJc w:val="left"/>
    </w:lvl>
    <w:lvl w:ilvl="7" w:tplc="6E7E4B74">
      <w:numFmt w:val="decimal"/>
      <w:lvlText w:val=""/>
      <w:lvlJc w:val="left"/>
    </w:lvl>
    <w:lvl w:ilvl="8" w:tplc="189089F4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ED440C76"/>
    <w:lvl w:ilvl="0" w:tplc="65584EB4">
      <w:start w:val="1"/>
      <w:numFmt w:val="bullet"/>
      <w:lvlText w:val="-"/>
      <w:lvlJc w:val="left"/>
    </w:lvl>
    <w:lvl w:ilvl="1" w:tplc="A26C8DEA">
      <w:numFmt w:val="decimal"/>
      <w:lvlText w:val=""/>
      <w:lvlJc w:val="left"/>
    </w:lvl>
    <w:lvl w:ilvl="2" w:tplc="F1FC0290">
      <w:numFmt w:val="decimal"/>
      <w:lvlText w:val=""/>
      <w:lvlJc w:val="left"/>
    </w:lvl>
    <w:lvl w:ilvl="3" w:tplc="A84861F4">
      <w:numFmt w:val="decimal"/>
      <w:lvlText w:val=""/>
      <w:lvlJc w:val="left"/>
    </w:lvl>
    <w:lvl w:ilvl="4" w:tplc="5456DC0C">
      <w:numFmt w:val="decimal"/>
      <w:lvlText w:val=""/>
      <w:lvlJc w:val="left"/>
    </w:lvl>
    <w:lvl w:ilvl="5" w:tplc="3814A9A0">
      <w:numFmt w:val="decimal"/>
      <w:lvlText w:val=""/>
      <w:lvlJc w:val="left"/>
    </w:lvl>
    <w:lvl w:ilvl="6" w:tplc="D276937C">
      <w:numFmt w:val="decimal"/>
      <w:lvlText w:val=""/>
      <w:lvlJc w:val="left"/>
    </w:lvl>
    <w:lvl w:ilvl="7" w:tplc="6220CBE2">
      <w:numFmt w:val="decimal"/>
      <w:lvlText w:val=""/>
      <w:lvlJc w:val="left"/>
    </w:lvl>
    <w:lvl w:ilvl="8" w:tplc="4B705A66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8E62B99E"/>
    <w:lvl w:ilvl="0" w:tplc="8BDAAD66">
      <w:start w:val="1"/>
      <w:numFmt w:val="bullet"/>
      <w:lvlText w:val="-"/>
      <w:lvlJc w:val="left"/>
    </w:lvl>
    <w:lvl w:ilvl="1" w:tplc="8C841A48">
      <w:numFmt w:val="decimal"/>
      <w:lvlText w:val=""/>
      <w:lvlJc w:val="left"/>
    </w:lvl>
    <w:lvl w:ilvl="2" w:tplc="92A8DE66">
      <w:numFmt w:val="decimal"/>
      <w:lvlText w:val=""/>
      <w:lvlJc w:val="left"/>
    </w:lvl>
    <w:lvl w:ilvl="3" w:tplc="70E46B60">
      <w:numFmt w:val="decimal"/>
      <w:lvlText w:val=""/>
      <w:lvlJc w:val="left"/>
    </w:lvl>
    <w:lvl w:ilvl="4" w:tplc="D08C2296">
      <w:numFmt w:val="decimal"/>
      <w:lvlText w:val=""/>
      <w:lvlJc w:val="left"/>
    </w:lvl>
    <w:lvl w:ilvl="5" w:tplc="52260F2A">
      <w:numFmt w:val="decimal"/>
      <w:lvlText w:val=""/>
      <w:lvlJc w:val="left"/>
    </w:lvl>
    <w:lvl w:ilvl="6" w:tplc="40FC6E0C">
      <w:numFmt w:val="decimal"/>
      <w:lvlText w:val=""/>
      <w:lvlJc w:val="left"/>
    </w:lvl>
    <w:lvl w:ilvl="7" w:tplc="1E98F6D6">
      <w:numFmt w:val="decimal"/>
      <w:lvlText w:val=""/>
      <w:lvlJc w:val="left"/>
    </w:lvl>
    <w:lvl w:ilvl="8" w:tplc="EFEAACA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6B6D848"/>
    <w:lvl w:ilvl="0" w:tplc="03B6BBC6">
      <w:start w:val="15"/>
      <w:numFmt w:val="lowerLetter"/>
      <w:lvlText w:val="%1"/>
      <w:lvlJc w:val="left"/>
    </w:lvl>
    <w:lvl w:ilvl="1" w:tplc="5240C2A4">
      <w:numFmt w:val="decimal"/>
      <w:lvlText w:val=""/>
      <w:lvlJc w:val="left"/>
    </w:lvl>
    <w:lvl w:ilvl="2" w:tplc="880E13FC">
      <w:numFmt w:val="decimal"/>
      <w:lvlText w:val=""/>
      <w:lvlJc w:val="left"/>
    </w:lvl>
    <w:lvl w:ilvl="3" w:tplc="0FC692D0">
      <w:numFmt w:val="decimal"/>
      <w:lvlText w:val=""/>
      <w:lvlJc w:val="left"/>
    </w:lvl>
    <w:lvl w:ilvl="4" w:tplc="A6ACBCD8">
      <w:numFmt w:val="decimal"/>
      <w:lvlText w:val=""/>
      <w:lvlJc w:val="left"/>
    </w:lvl>
    <w:lvl w:ilvl="5" w:tplc="34F2B6DE">
      <w:numFmt w:val="decimal"/>
      <w:lvlText w:val=""/>
      <w:lvlJc w:val="left"/>
    </w:lvl>
    <w:lvl w:ilvl="6" w:tplc="EE40CEF2">
      <w:numFmt w:val="decimal"/>
      <w:lvlText w:val=""/>
      <w:lvlJc w:val="left"/>
    </w:lvl>
    <w:lvl w:ilvl="7" w:tplc="AA86628E">
      <w:numFmt w:val="decimal"/>
      <w:lvlText w:val=""/>
      <w:lvlJc w:val="left"/>
    </w:lvl>
    <w:lvl w:ilvl="8" w:tplc="4028CAEC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505"/>
    <w:rsid w:val="00211698"/>
    <w:rsid w:val="00F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4027"/>
  <w15:docId w15:val="{C5869C35-9CAD-4676-9369-673AB354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it" w:eastAsia="it" w:bidi="it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Francesca Bombelli</cp:lastModifiedBy>
  <cp:revision>2</cp:revision>
  <dcterms:created xsi:type="dcterms:W3CDTF">2020-05-11T13:58:00Z</dcterms:created>
  <dcterms:modified xsi:type="dcterms:W3CDTF">2020-05-11T13:58:00Z</dcterms:modified>
</cp:coreProperties>
</file>